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>Quick safety scan – First Aid and Emergency Response</w:t>
      </w:r>
    </w:p>
    <w:p w:rsidR="00786E94" w:rsidRDefault="00786E94" w:rsidP="00A46844">
      <w:pPr>
        <w:pStyle w:val="Heading2"/>
        <w:spacing w:before="480" w:after="240"/>
        <w:rPr>
          <w:rFonts w:asciiTheme="minorHAnsi" w:hAnsiTheme="minorHAnsi" w:cs="Times New Roman"/>
          <w:bCs w:val="0"/>
          <w:iCs w:val="0"/>
          <w:color w:val="auto"/>
          <w:sz w:val="22"/>
          <w:szCs w:val="24"/>
        </w:rPr>
      </w:pPr>
      <w:bookmarkStart w:id="5" w:name="_Toc7188663"/>
      <w:bookmarkStart w:id="6" w:name="_Toc7613011"/>
      <w:bookmarkStart w:id="7" w:name="_Toc479596899"/>
      <w:r w:rsidRPr="00786E94">
        <w:rPr>
          <w:rFonts w:asciiTheme="minorHAnsi" w:hAnsiTheme="minorHAnsi" w:cs="Times New Roman"/>
          <w:bCs w:val="0"/>
          <w:iCs w:val="0"/>
          <w:color w:val="auto"/>
          <w:sz w:val="22"/>
          <w:szCs w:val="24"/>
        </w:rPr>
        <w:t>Use this quick safety scan to look at your safety systems and practices to manage haza</w:t>
      </w:r>
      <w:r>
        <w:rPr>
          <w:rFonts w:asciiTheme="minorHAnsi" w:hAnsiTheme="minorHAnsi" w:cs="Times New Roman"/>
          <w:bCs w:val="0"/>
          <w:iCs w:val="0"/>
          <w:color w:val="auto"/>
          <w:sz w:val="22"/>
          <w:szCs w:val="24"/>
        </w:rPr>
        <w:t>rds from accidents and emergencies</w:t>
      </w:r>
      <w:bookmarkStart w:id="8" w:name="_GoBack"/>
      <w:bookmarkEnd w:id="8"/>
      <w:r w:rsidRPr="00786E94">
        <w:rPr>
          <w:rFonts w:asciiTheme="minorHAnsi" w:hAnsiTheme="minorHAnsi" w:cs="Times New Roman"/>
          <w:bCs w:val="0"/>
          <w:iCs w:val="0"/>
          <w:color w:val="auto"/>
          <w:sz w:val="22"/>
          <w:szCs w:val="24"/>
        </w:rPr>
        <w:t>. Those items where you tick ‘Sometimes’ or ‘Never’ will need action to fix or improve. The documents in italics are on the SafeWork SA website.</w:t>
      </w:r>
    </w:p>
    <w:p w:rsidR="00112D38" w:rsidRPr="00860BDD" w:rsidRDefault="00F452D6" w:rsidP="00A46844">
      <w:pPr>
        <w:pStyle w:val="Heading2"/>
        <w:spacing w:before="480" w:after="240"/>
      </w:pPr>
      <w:r>
        <w:t>FIRST AID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F452D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F452D6" w:rsidRPr="00036484" w:rsidRDefault="00F452D6" w:rsidP="00883661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You have done a risk ass</w:t>
            </w:r>
            <w:r w:rsidR="00A20FE0">
              <w:rPr>
                <w:b w:val="0"/>
              </w:rPr>
              <w:t>essment to determine</w:t>
            </w:r>
            <w:r w:rsidRPr="00036484">
              <w:rPr>
                <w:b w:val="0"/>
              </w:rPr>
              <w:t xml:space="preserve"> first aid requirements appropriate to work place (e.g. distances, response times for emergency services, mobile/remote work)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52D6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F452D6" w:rsidRPr="00036484" w:rsidRDefault="00F452D6" w:rsidP="00883661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Approved first aid kits and equipment are provided, maintained and accessible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52D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F452D6" w:rsidRPr="00036484" w:rsidRDefault="00F452D6" w:rsidP="00883661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Portable first aid kits are provided and safely stowed in vehicles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52D6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F452D6" w:rsidRPr="00036484" w:rsidRDefault="00F452D6" w:rsidP="00883661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An adequate number of people are trained to administer first aid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52D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F452D6" w:rsidRPr="00036484" w:rsidRDefault="00F452D6" w:rsidP="00883661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Eye washing facilities are provided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52D6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F452D6" w:rsidRPr="00036484" w:rsidRDefault="00F452D6" w:rsidP="00883661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First aid records are kept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207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0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392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452D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F452D6" w:rsidRPr="00036484" w:rsidRDefault="00F452D6" w:rsidP="00883661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First aid signs are posted and locations are known by everyone on property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2457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7397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9909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F452D6" w:rsidRPr="00036484" w:rsidRDefault="00883661" w:rsidP="0088366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4C05" w:rsidRDefault="00EF4C05" w:rsidP="00EF4C05">
      <w:pPr>
        <w:pStyle w:val="BodyText"/>
      </w:pPr>
    </w:p>
    <w:p w:rsidR="00883661" w:rsidRDefault="00883661" w:rsidP="00883661">
      <w:pPr>
        <w:pStyle w:val="Heading2"/>
      </w:pPr>
      <w:r>
        <w:t>FIRE AND EMERGENCY RESPONSE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661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661" w:rsidRPr="005A33C9" w:rsidRDefault="00883661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2A753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Correct types of fire extinguishers are provided, located and signed appropriately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48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29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35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661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Fire extinguishers are regularly maintained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6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1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2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A753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Workers are trained in fire-fighting equipment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674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95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661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Fire-fighting equipment is in good condition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548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22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5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A753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You have an emergency response plan and evacuation procedure in 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1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662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17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661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lastRenderedPageBreak/>
              <w:t>You have a fire alarm system and carry out system tests and emergency drills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6503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676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619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A753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The results of emergency drills are analysed to improve future tests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260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505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7808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661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Emergency lighting is available, visible and periodically tested</w:t>
            </w:r>
          </w:p>
        </w:tc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79464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204181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18155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A753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Emergency exits are clearly signposted and unobstructed</w:t>
            </w:r>
          </w:p>
        </w:tc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198168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546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185102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661" w:rsidRPr="00036484" w:rsidTr="001A4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Smoke detectors are fitted, tested and maintained</w:t>
            </w:r>
          </w:p>
        </w:tc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55051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56307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88957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A7536" w:rsidRPr="00036484" w:rsidTr="001A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883661" w:rsidRPr="00036484" w:rsidRDefault="00883661" w:rsidP="008D0740">
            <w:pPr>
              <w:pStyle w:val="TableText"/>
              <w:rPr>
                <w:b w:val="0"/>
              </w:rPr>
            </w:pPr>
            <w:r w:rsidRPr="00036484">
              <w:rPr>
                <w:b w:val="0"/>
              </w:rPr>
              <w:t>Emergency contact numbers are displayed</w:t>
            </w:r>
          </w:p>
        </w:tc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34841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7383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36"/>
              <w:szCs w:val="36"/>
            </w:rPr>
            <w:id w:val="-2304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83661" w:rsidRPr="00036484" w:rsidRDefault="00883661" w:rsidP="008D074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883661" w:rsidRDefault="00883661" w:rsidP="00EF4C05">
      <w:pPr>
        <w:pStyle w:val="BodyText"/>
      </w:pPr>
    </w:p>
    <w:sectPr w:rsidR="0088366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786E94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786E94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6E94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0FE0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40A64E9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C5C4-D62D-4938-94C2-8BC8FB6E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3</cp:revision>
  <cp:lastPrinted>2019-04-15T02:21:00Z</cp:lastPrinted>
  <dcterms:created xsi:type="dcterms:W3CDTF">2020-07-21T04:56:00Z</dcterms:created>
  <dcterms:modified xsi:type="dcterms:W3CDTF">2020-08-07T06:03:00Z</dcterms:modified>
</cp:coreProperties>
</file>