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 xml:space="preserve">Quick safety scan – </w:t>
      </w:r>
      <w:r w:rsidR="00351951">
        <w:t>Electrical</w:t>
      </w:r>
    </w:p>
    <w:p w:rsidR="00F452D6" w:rsidRPr="00F452D6" w:rsidRDefault="003034AF" w:rsidP="00F452D6">
      <w:pPr>
        <w:pStyle w:val="BodyText"/>
      </w:pPr>
      <w:r w:rsidRPr="003034AF">
        <w:t>Use this quick safety scan to look at your safety systems and practices</w:t>
      </w:r>
      <w:r w:rsidR="001D783F">
        <w:t xml:space="preserve"> to manage electrical hazards</w:t>
      </w:r>
      <w:r w:rsidRPr="003034AF">
        <w:t>. Those items where you tick ‘Sometimes’ or ‘Never’ will need action to fix or improve. The documents in italics are on the SafeWork SA website.</w:t>
      </w:r>
    </w:p>
    <w:p w:rsidR="00112D38" w:rsidRPr="00860BDD" w:rsidRDefault="009532AB" w:rsidP="00A46844">
      <w:pPr>
        <w:pStyle w:val="Heading2"/>
        <w:spacing w:before="480" w:after="240"/>
      </w:pPr>
      <w:bookmarkStart w:id="5" w:name="_Toc7188663"/>
      <w:bookmarkStart w:id="6" w:name="_Toc7613011"/>
      <w:bookmarkStart w:id="7" w:name="_Toc479596899"/>
      <w:r>
        <w:t>ELECTRICAL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9532AB" w:rsidRPr="00036484" w:rsidTr="001C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Outlets, plugs, sockets, leads and power points are in good condition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Temporary extension leads, double adaptors, powerboards in series are not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Power circuits are protected with appropriately rated fuses or circuit breakers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3B40A7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Powerboards used for portable electrical equipment are R</w:t>
            </w:r>
            <w:r w:rsidR="003B40A7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esidual </w:t>
            </w: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C</w:t>
            </w:r>
            <w:r w:rsidR="003B40A7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urrent </w:t>
            </w: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D</w:t>
            </w:r>
            <w:r w:rsidR="003B40A7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evice (RCD) </w:t>
            </w: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protected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48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83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8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Electrical equipment is never use in ‘wet’ areas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1802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133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6189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Unsafe equipment is disconnected/isolated/labelled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5098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1769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2128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Testing and tagging is current for all fixed and portable electrical equipment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9069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886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7584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Main and isolation switches are clearly labelled/accessible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817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0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98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3B40A7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B40A7">
              <w:rPr>
                <w:rFonts w:asciiTheme="minorHAnsi" w:hAnsiTheme="minorHAnsi" w:cstheme="minorHAnsi"/>
                <w:b w:val="0"/>
                <w:w w:val="95"/>
                <w:sz w:val="20"/>
              </w:rPr>
              <w:t>Electrical leads, power boards and equipment are kept away from potential sources of damage (e.g. water, heat, being run over)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424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6163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5130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Compressed air or extra-low voltage equipment is substituted for electrically operated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0186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1847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2707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Electrical equipment is maintained in good conditi</w:t>
            </w:r>
            <w:bookmarkStart w:id="8" w:name="_GoBack"/>
            <w:bookmarkEnd w:id="8"/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734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503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4111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532AB" w:rsidRPr="00036484" w:rsidTr="001C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9532AB" w:rsidRPr="00780231" w:rsidRDefault="009532AB" w:rsidP="009532A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80231">
              <w:rPr>
                <w:rFonts w:asciiTheme="minorHAnsi" w:hAnsiTheme="minorHAnsi" w:cstheme="minorHAnsi"/>
                <w:b w:val="0"/>
                <w:w w:val="95"/>
                <w:sz w:val="20"/>
              </w:rPr>
              <w:t>Maintenance records are kept and available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207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0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392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9532AB" w:rsidRPr="00036484" w:rsidRDefault="009532AB" w:rsidP="009532AB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EF4C05" w:rsidRDefault="00EF4C05" w:rsidP="00EF4C05">
      <w:pPr>
        <w:pStyle w:val="BodyText"/>
      </w:pPr>
    </w:p>
    <w:p w:rsidR="00883661" w:rsidRDefault="00883661" w:rsidP="00EF4C05">
      <w:pPr>
        <w:pStyle w:val="BodyText"/>
      </w:pPr>
    </w:p>
    <w:p w:rsidR="001E6771" w:rsidRDefault="001E6771" w:rsidP="00EF4C05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1E6771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3B40A7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3B40A7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D783F"/>
    <w:rsid w:val="001E32F2"/>
    <w:rsid w:val="001E6771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34AF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51951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0A7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715CA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0231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32AB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0FE0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719DF5E0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F7A4-E328-4F34-820B-2F99E353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6</cp:revision>
  <cp:lastPrinted>2019-04-15T02:21:00Z</cp:lastPrinted>
  <dcterms:created xsi:type="dcterms:W3CDTF">2020-07-21T04:59:00Z</dcterms:created>
  <dcterms:modified xsi:type="dcterms:W3CDTF">2020-08-24T23:05:00Z</dcterms:modified>
</cp:coreProperties>
</file>